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6F" w:rsidRPr="00B84535" w:rsidRDefault="0028546F" w:rsidP="002854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C3A2E">
        <w:rPr>
          <w:rFonts w:ascii="Arial" w:hAnsi="Arial" w:cs="Arial"/>
          <w:sz w:val="22"/>
          <w:szCs w:val="22"/>
        </w:rPr>
        <w:t xml:space="preserve">The Queensland Government requires agencies to develop agency </w:t>
      </w:r>
      <w:r>
        <w:rPr>
          <w:rFonts w:ascii="Arial" w:hAnsi="Arial" w:cs="Arial"/>
          <w:sz w:val="22"/>
          <w:szCs w:val="22"/>
        </w:rPr>
        <w:t xml:space="preserve">regulatory </w:t>
      </w:r>
      <w:r w:rsidRPr="006C3A2E">
        <w:rPr>
          <w:rFonts w:ascii="Arial" w:hAnsi="Arial" w:cs="Arial"/>
          <w:sz w:val="22"/>
          <w:szCs w:val="22"/>
        </w:rPr>
        <w:t xml:space="preserve">simplification plans as </w:t>
      </w:r>
      <w:r w:rsidRPr="00B84535">
        <w:rPr>
          <w:rFonts w:ascii="Arial" w:hAnsi="Arial" w:cs="Arial"/>
          <w:sz w:val="22"/>
          <w:szCs w:val="22"/>
        </w:rPr>
        <w:t>part of the Government’s Queensland Regulatory Simplification Plan. The aim is to reduce the regulatory compliance burden to business and the administrative burden to government by $150 million per annum by the end of 2012-2013.</w:t>
      </w:r>
    </w:p>
    <w:p w:rsidR="0028546F" w:rsidRPr="00B84535" w:rsidRDefault="0028546F" w:rsidP="0028546F">
      <w:pPr>
        <w:jc w:val="both"/>
        <w:rPr>
          <w:rFonts w:ascii="Arial" w:hAnsi="Arial" w:cs="Arial"/>
          <w:sz w:val="22"/>
          <w:szCs w:val="22"/>
        </w:rPr>
      </w:pPr>
    </w:p>
    <w:p w:rsidR="0028546F" w:rsidRPr="00B84535" w:rsidRDefault="0028546F" w:rsidP="002854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84535">
        <w:rPr>
          <w:rFonts w:ascii="Arial" w:hAnsi="Arial" w:cs="Arial"/>
          <w:sz w:val="22"/>
          <w:szCs w:val="22"/>
        </w:rPr>
        <w:t>Agency regulatory simplification plans are a way to identify opportunities to reduce unnecessary and excessive legislative requirements, and streamline administrative and procurement processes.</w:t>
      </w:r>
    </w:p>
    <w:p w:rsidR="0028546F" w:rsidRPr="00B84535" w:rsidRDefault="0028546F" w:rsidP="0028546F">
      <w:pPr>
        <w:jc w:val="both"/>
        <w:rPr>
          <w:rFonts w:ascii="Arial" w:hAnsi="Arial" w:cs="Arial"/>
          <w:sz w:val="22"/>
          <w:szCs w:val="22"/>
        </w:rPr>
      </w:pPr>
    </w:p>
    <w:p w:rsidR="00EB0724" w:rsidRDefault="0028546F" w:rsidP="002854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A72CC">
        <w:rPr>
          <w:rFonts w:ascii="Arial" w:hAnsi="Arial" w:cs="Arial"/>
          <w:sz w:val="22"/>
          <w:szCs w:val="22"/>
        </w:rPr>
        <w:t xml:space="preserve">Agencies are to participate in one of two three-year review phases beginning in 2009 (Phase 1) or 2010 (Phase 2) with reforms to be implemented by </w:t>
      </w:r>
      <w:smartTag w:uri="urn:schemas-microsoft-com:office:smarttags" w:element="date">
        <w:smartTagPr>
          <w:attr w:name="Year" w:val="2013"/>
          <w:attr w:name="Day" w:val="30"/>
          <w:attr w:name="Month" w:val="6"/>
        </w:smartTagPr>
        <w:r w:rsidRPr="00EA72CC">
          <w:rPr>
            <w:rFonts w:ascii="Arial" w:hAnsi="Arial" w:cs="Arial"/>
            <w:sz w:val="22"/>
            <w:szCs w:val="22"/>
          </w:rPr>
          <w:t>30 June 2013</w:t>
        </w:r>
      </w:smartTag>
      <w:r w:rsidRPr="00EA72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B0724" w:rsidRDefault="00EB0724" w:rsidP="00EB0724">
      <w:pPr>
        <w:jc w:val="both"/>
        <w:rPr>
          <w:rFonts w:ascii="Arial" w:hAnsi="Arial" w:cs="Arial"/>
          <w:sz w:val="22"/>
          <w:szCs w:val="22"/>
        </w:rPr>
      </w:pPr>
    </w:p>
    <w:p w:rsidR="0028546F" w:rsidRPr="00B84535" w:rsidRDefault="0028546F" w:rsidP="002854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A72CC">
        <w:rPr>
          <w:rFonts w:ascii="Arial" w:hAnsi="Arial" w:cs="Arial"/>
          <w:sz w:val="22"/>
          <w:szCs w:val="22"/>
        </w:rPr>
        <w:t>Phase 1 agencies are:</w:t>
      </w:r>
    </w:p>
    <w:p w:rsidR="0028546F" w:rsidRPr="00B84535" w:rsidRDefault="0028546F" w:rsidP="00C20666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Treasury Department;</w:t>
      </w:r>
    </w:p>
    <w:p w:rsidR="0028546F" w:rsidRPr="00B84535" w:rsidRDefault="0028546F" w:rsidP="00C20666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84535">
        <w:rPr>
          <w:rFonts w:ascii="Arial" w:hAnsi="Arial" w:cs="Arial"/>
          <w:kern w:val="20"/>
          <w:sz w:val="22"/>
          <w:szCs w:val="22"/>
        </w:rPr>
        <w:t>Department of Employment, Economic Development and Innovation</w:t>
      </w:r>
      <w:r>
        <w:rPr>
          <w:rFonts w:ascii="Arial" w:hAnsi="Arial" w:cs="Arial"/>
          <w:kern w:val="20"/>
          <w:sz w:val="22"/>
          <w:szCs w:val="22"/>
        </w:rPr>
        <w:t>;</w:t>
      </w:r>
    </w:p>
    <w:p w:rsidR="0028546F" w:rsidRPr="00B84535" w:rsidRDefault="0028546F" w:rsidP="00C20666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6C3A2E">
        <w:rPr>
          <w:rFonts w:ascii="Arial" w:hAnsi="Arial" w:cs="Arial"/>
          <w:kern w:val="20"/>
          <w:sz w:val="22"/>
          <w:szCs w:val="22"/>
        </w:rPr>
        <w:t>Department of Environment and Resource Management</w:t>
      </w:r>
      <w:r>
        <w:rPr>
          <w:rFonts w:ascii="Arial" w:hAnsi="Arial" w:cs="Arial"/>
          <w:kern w:val="20"/>
          <w:sz w:val="22"/>
          <w:szCs w:val="22"/>
        </w:rPr>
        <w:t>;</w:t>
      </w:r>
    </w:p>
    <w:p w:rsidR="0028546F" w:rsidRPr="00B84535" w:rsidRDefault="0028546F" w:rsidP="00C20666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6C3A2E">
        <w:rPr>
          <w:rFonts w:ascii="Arial" w:hAnsi="Arial" w:cs="Arial"/>
          <w:kern w:val="20"/>
          <w:sz w:val="22"/>
          <w:szCs w:val="22"/>
        </w:rPr>
        <w:t>Department of Justice and Attorney-General</w:t>
      </w:r>
      <w:r>
        <w:rPr>
          <w:rFonts w:ascii="Arial" w:hAnsi="Arial" w:cs="Arial"/>
          <w:kern w:val="20"/>
          <w:sz w:val="22"/>
          <w:szCs w:val="22"/>
        </w:rPr>
        <w:t>;</w:t>
      </w:r>
    </w:p>
    <w:p w:rsidR="0028546F" w:rsidRPr="00B84535" w:rsidRDefault="0028546F" w:rsidP="00C20666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6C3A2E">
        <w:rPr>
          <w:rFonts w:ascii="Arial" w:hAnsi="Arial" w:cs="Arial"/>
          <w:kern w:val="20"/>
          <w:sz w:val="22"/>
          <w:szCs w:val="22"/>
        </w:rPr>
        <w:t>Department of Infrastructure and Planning</w:t>
      </w:r>
      <w:r>
        <w:rPr>
          <w:rFonts w:ascii="Arial" w:hAnsi="Arial" w:cs="Arial"/>
          <w:kern w:val="20"/>
          <w:sz w:val="22"/>
          <w:szCs w:val="22"/>
        </w:rPr>
        <w:t>;</w:t>
      </w:r>
      <w:r w:rsidRPr="006C3A2E">
        <w:rPr>
          <w:rFonts w:ascii="Arial" w:hAnsi="Arial" w:cs="Arial"/>
          <w:kern w:val="20"/>
          <w:sz w:val="22"/>
          <w:szCs w:val="22"/>
        </w:rPr>
        <w:t xml:space="preserve"> and</w:t>
      </w:r>
    </w:p>
    <w:p w:rsidR="0028546F" w:rsidRDefault="0028546F" w:rsidP="00C20666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6C3A2E">
        <w:rPr>
          <w:rFonts w:ascii="Arial" w:hAnsi="Arial" w:cs="Arial"/>
          <w:kern w:val="20"/>
          <w:sz w:val="22"/>
          <w:szCs w:val="22"/>
        </w:rPr>
        <w:t>Department of Communities</w:t>
      </w:r>
      <w:r w:rsidRPr="006C3A2E">
        <w:rPr>
          <w:rFonts w:ascii="Arial" w:hAnsi="Arial" w:cs="Arial"/>
          <w:sz w:val="22"/>
          <w:szCs w:val="22"/>
        </w:rPr>
        <w:t>.</w:t>
      </w:r>
    </w:p>
    <w:p w:rsidR="00EB0724" w:rsidRDefault="00EB0724" w:rsidP="00EB07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0724" w:rsidRDefault="00EB0724" w:rsidP="00EB07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regulatory simplification plans for the Phase 1 agencies.</w:t>
      </w:r>
    </w:p>
    <w:p w:rsidR="000A1B5A" w:rsidRDefault="000A1B5A" w:rsidP="000A1B5A">
      <w:pPr>
        <w:jc w:val="both"/>
        <w:rPr>
          <w:rFonts w:ascii="Arial" w:hAnsi="Arial" w:cs="Arial"/>
          <w:sz w:val="22"/>
          <w:szCs w:val="22"/>
        </w:rPr>
      </w:pPr>
    </w:p>
    <w:p w:rsidR="00EB0724" w:rsidRDefault="00EB0724" w:rsidP="00EB07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agencies:</w:t>
      </w:r>
    </w:p>
    <w:p w:rsidR="00EB0724" w:rsidRDefault="000A1B5A" w:rsidP="00EB0724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B0724">
        <w:rPr>
          <w:rFonts w:ascii="Arial" w:hAnsi="Arial" w:cs="Arial"/>
          <w:sz w:val="22"/>
          <w:szCs w:val="22"/>
        </w:rPr>
        <w:t>aintain a register of all regulatory initiatives implemented from 1 July 2009 recording significant</w:t>
      </w:r>
      <w:r>
        <w:rPr>
          <w:rFonts w:ascii="Arial" w:hAnsi="Arial" w:cs="Arial"/>
          <w:sz w:val="22"/>
          <w:szCs w:val="22"/>
        </w:rPr>
        <w:t xml:space="preserve"> initiatives implemented from 1 July 2009 recording significant increase and decreases in regulatory burden on business, community and government;</w:t>
      </w:r>
    </w:p>
    <w:p w:rsidR="000A1B5A" w:rsidRDefault="000A1B5A" w:rsidP="00EB0724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regulatory simplification plans that are informed by stakeholder consultation; </w:t>
      </w:r>
    </w:p>
    <w:p w:rsidR="000A1B5A" w:rsidRDefault="000A1B5A" w:rsidP="00EB0724">
      <w:pPr>
        <w:numPr>
          <w:ilvl w:val="0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notification in a central public register of all significant regulatory reform initiatives.</w:t>
      </w:r>
    </w:p>
    <w:p w:rsidR="000A1B5A" w:rsidRDefault="000A1B5A" w:rsidP="000A1B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0724" w:rsidRPr="000A1B5A" w:rsidRDefault="000A1B5A" w:rsidP="000A1B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0A1B5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F7C34" w:rsidRPr="004C4A42" w:rsidRDefault="000A1B5A" w:rsidP="000A1B5A">
      <w:pPr>
        <w:numPr>
          <w:ilvl w:val="0"/>
          <w:numId w:val="2"/>
        </w:numPr>
        <w:tabs>
          <w:tab w:val="clear" w:pos="1440"/>
          <w:tab w:val="num" w:pos="814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1 Regulatory Simplification Plans</w:t>
      </w:r>
      <w:r w:rsidR="00E01484">
        <w:rPr>
          <w:rFonts w:ascii="Arial" w:hAnsi="Arial" w:cs="Arial"/>
          <w:sz w:val="22"/>
          <w:szCs w:val="22"/>
        </w:rPr>
        <w:t xml:space="preserve"> for: </w:t>
      </w:r>
    </w:p>
    <w:p w:rsidR="00E01484" w:rsidRPr="00B84535" w:rsidRDefault="002B4C49" w:rsidP="00E014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hyperlink r:id="rId7" w:history="1">
        <w:r w:rsidR="00E01484" w:rsidRPr="002A2B60">
          <w:rPr>
            <w:rStyle w:val="Hyperlink"/>
            <w:rFonts w:ascii="Arial" w:hAnsi="Arial" w:cs="Arial"/>
            <w:kern w:val="20"/>
            <w:sz w:val="22"/>
            <w:szCs w:val="22"/>
          </w:rPr>
          <w:t>Treasury Department</w:t>
        </w:r>
      </w:hyperlink>
      <w:r w:rsidR="00E01484">
        <w:rPr>
          <w:rFonts w:ascii="Arial" w:hAnsi="Arial" w:cs="Arial"/>
          <w:kern w:val="20"/>
          <w:sz w:val="22"/>
          <w:szCs w:val="22"/>
        </w:rPr>
        <w:t>;</w:t>
      </w:r>
    </w:p>
    <w:p w:rsidR="00E01484" w:rsidRPr="00B84535" w:rsidRDefault="002B4C49" w:rsidP="00E014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hyperlink r:id="rId8" w:history="1">
        <w:r w:rsidR="00E01484" w:rsidRPr="002A2B60">
          <w:rPr>
            <w:rStyle w:val="Hyperlink"/>
            <w:rFonts w:ascii="Arial" w:hAnsi="Arial" w:cs="Arial"/>
            <w:kern w:val="20"/>
            <w:sz w:val="22"/>
            <w:szCs w:val="22"/>
          </w:rPr>
          <w:t>Department of Employment, Economic Development and Innovation</w:t>
        </w:r>
      </w:hyperlink>
      <w:r w:rsidR="00E01484">
        <w:rPr>
          <w:rFonts w:ascii="Arial" w:hAnsi="Arial" w:cs="Arial"/>
          <w:kern w:val="20"/>
          <w:sz w:val="22"/>
          <w:szCs w:val="22"/>
        </w:rPr>
        <w:t>;</w:t>
      </w:r>
    </w:p>
    <w:p w:rsidR="00E01484" w:rsidRPr="00B84535" w:rsidRDefault="002B4C49" w:rsidP="00E014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hyperlink r:id="rId9" w:history="1">
        <w:r w:rsidR="00E01484" w:rsidRPr="002A2B60">
          <w:rPr>
            <w:rStyle w:val="Hyperlink"/>
            <w:rFonts w:ascii="Arial" w:hAnsi="Arial" w:cs="Arial"/>
            <w:kern w:val="20"/>
            <w:sz w:val="22"/>
            <w:szCs w:val="22"/>
          </w:rPr>
          <w:t>Department of Environment and Resource Management</w:t>
        </w:r>
      </w:hyperlink>
      <w:r w:rsidR="00E01484">
        <w:rPr>
          <w:rFonts w:ascii="Arial" w:hAnsi="Arial" w:cs="Arial"/>
          <w:kern w:val="20"/>
          <w:sz w:val="22"/>
          <w:szCs w:val="22"/>
        </w:rPr>
        <w:t>;</w:t>
      </w:r>
    </w:p>
    <w:p w:rsidR="00E01484" w:rsidRPr="00B84535" w:rsidRDefault="002B4C49" w:rsidP="00E014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hyperlink r:id="rId10" w:history="1">
        <w:r w:rsidR="00E01484" w:rsidRPr="002A2B60">
          <w:rPr>
            <w:rStyle w:val="Hyperlink"/>
            <w:rFonts w:ascii="Arial" w:hAnsi="Arial" w:cs="Arial"/>
            <w:kern w:val="20"/>
            <w:sz w:val="22"/>
            <w:szCs w:val="22"/>
          </w:rPr>
          <w:t>Department of Justice and Attorney-General</w:t>
        </w:r>
      </w:hyperlink>
      <w:r w:rsidR="00E01484">
        <w:rPr>
          <w:rFonts w:ascii="Arial" w:hAnsi="Arial" w:cs="Arial"/>
          <w:kern w:val="20"/>
          <w:sz w:val="22"/>
          <w:szCs w:val="22"/>
        </w:rPr>
        <w:t>;</w:t>
      </w:r>
    </w:p>
    <w:p w:rsidR="00E01484" w:rsidRPr="00B84535" w:rsidRDefault="002B4C49" w:rsidP="00E014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hyperlink r:id="rId11" w:history="1">
        <w:r w:rsidR="00E01484" w:rsidRPr="002A2B60">
          <w:rPr>
            <w:rStyle w:val="Hyperlink"/>
            <w:rFonts w:ascii="Arial" w:hAnsi="Arial" w:cs="Arial"/>
            <w:kern w:val="20"/>
            <w:sz w:val="22"/>
            <w:szCs w:val="22"/>
          </w:rPr>
          <w:t>Department of Infrastructure and Planning</w:t>
        </w:r>
      </w:hyperlink>
      <w:r w:rsidR="00E01484">
        <w:rPr>
          <w:rFonts w:ascii="Arial" w:hAnsi="Arial" w:cs="Arial"/>
          <w:kern w:val="20"/>
          <w:sz w:val="22"/>
          <w:szCs w:val="22"/>
        </w:rPr>
        <w:t>;</w:t>
      </w:r>
      <w:r w:rsidR="00E01484" w:rsidRPr="006C3A2E">
        <w:rPr>
          <w:rFonts w:ascii="Arial" w:hAnsi="Arial" w:cs="Arial"/>
          <w:kern w:val="20"/>
          <w:sz w:val="22"/>
          <w:szCs w:val="22"/>
        </w:rPr>
        <w:t xml:space="preserve"> and</w:t>
      </w:r>
    </w:p>
    <w:p w:rsidR="00E01484" w:rsidRDefault="002B4C49" w:rsidP="00E014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hyperlink r:id="rId12" w:history="1">
        <w:r w:rsidR="00E01484" w:rsidRPr="002A2B60">
          <w:rPr>
            <w:rStyle w:val="Hyperlink"/>
            <w:rFonts w:ascii="Arial" w:hAnsi="Arial" w:cs="Arial"/>
            <w:kern w:val="20"/>
            <w:sz w:val="22"/>
            <w:szCs w:val="22"/>
          </w:rPr>
          <w:t>Department of Communities</w:t>
        </w:r>
      </w:hyperlink>
      <w:r w:rsidR="00E01484" w:rsidRPr="006C3A2E">
        <w:rPr>
          <w:rFonts w:ascii="Arial" w:hAnsi="Arial" w:cs="Arial"/>
          <w:sz w:val="22"/>
          <w:szCs w:val="22"/>
        </w:rPr>
        <w:t>.</w:t>
      </w:r>
    </w:p>
    <w:p w:rsidR="00FF7C34" w:rsidRDefault="00FF7C34" w:rsidP="00FF7C34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FF7C34" w:rsidRDefault="00FF7C34" w:rsidP="00FF7C34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FF7C34" w:rsidRDefault="00FF7C34" w:rsidP="00FF7C34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FF7C34" w:rsidRPr="00FF7C34" w:rsidRDefault="00FF7C34" w:rsidP="00DA6518">
      <w:pPr>
        <w:tabs>
          <w:tab w:val="left" w:pos="2835"/>
        </w:tabs>
        <w:rPr>
          <w:sz w:val="20"/>
        </w:rPr>
      </w:pPr>
    </w:p>
    <w:sectPr w:rsidR="00FF7C34" w:rsidRPr="00FF7C34" w:rsidSect="000A1B5A">
      <w:headerReference w:type="default" r:id="rId13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07" w:rsidRDefault="005A2007">
      <w:r>
        <w:separator/>
      </w:r>
    </w:p>
  </w:endnote>
  <w:endnote w:type="continuationSeparator" w:id="0">
    <w:p w:rsidR="005A2007" w:rsidRDefault="005A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07" w:rsidRDefault="005A2007">
      <w:r>
        <w:separator/>
      </w:r>
    </w:p>
  </w:footnote>
  <w:footnote w:type="continuationSeparator" w:id="0">
    <w:p w:rsidR="005A2007" w:rsidRDefault="005A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18" w:rsidRDefault="00DA6518" w:rsidP="0028546F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</w:p>
  <w:p w:rsidR="00DA6518" w:rsidRDefault="00DA6518" w:rsidP="0028546F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</w:p>
  <w:p w:rsidR="00DA6518" w:rsidRPr="00FF7C34" w:rsidRDefault="0035718F" w:rsidP="0028546F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518" w:rsidRPr="000400F9">
      <w:rPr>
        <w:rFonts w:ascii="Arial" w:hAnsi="Arial" w:cs="Arial"/>
        <w:b/>
        <w:sz w:val="22"/>
        <w:szCs w:val="22"/>
        <w:u w:val="single"/>
      </w:rPr>
      <w:t xml:space="preserve">Cabinet </w:t>
    </w:r>
    <w:r w:rsidR="00DA6518" w:rsidRPr="00FF7C34">
      <w:rPr>
        <w:rFonts w:ascii="Arial" w:hAnsi="Arial" w:cs="Arial"/>
        <w:b/>
        <w:sz w:val="22"/>
        <w:szCs w:val="22"/>
        <w:u w:val="single"/>
      </w:rPr>
      <w:t>– November 2009</w:t>
    </w:r>
    <w:r w:rsidR="00DA6518" w:rsidRPr="00FF7C34">
      <w:rPr>
        <w:rFonts w:ascii="Arial" w:hAnsi="Arial" w:cs="Arial"/>
        <w:b/>
        <w:sz w:val="22"/>
        <w:szCs w:val="22"/>
      </w:rPr>
      <w:tab/>
    </w:r>
  </w:p>
  <w:p w:rsidR="00DA6518" w:rsidRPr="00FF7C34" w:rsidRDefault="00DA6518" w:rsidP="002854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F7C34">
      <w:rPr>
        <w:rFonts w:ascii="Arial" w:hAnsi="Arial" w:cs="Arial"/>
        <w:b/>
        <w:sz w:val="22"/>
        <w:szCs w:val="22"/>
        <w:u w:val="single"/>
      </w:rPr>
      <w:t>Phase 1 Agency Regulatory Simplification Plans</w:t>
    </w:r>
  </w:p>
  <w:p w:rsidR="00DA6518" w:rsidRPr="00FF7C34" w:rsidRDefault="00DA6518" w:rsidP="00C20666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FF7C34"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DA6518" w:rsidRPr="00FF7C34" w:rsidRDefault="00DA6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77"/>
    <w:multiLevelType w:val="hybridMultilevel"/>
    <w:tmpl w:val="C9AEBB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E2D22"/>
    <w:multiLevelType w:val="hybridMultilevel"/>
    <w:tmpl w:val="618820D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B"/>
    <w:rsid w:val="00013FC1"/>
    <w:rsid w:val="000A1B5A"/>
    <w:rsid w:val="0011337E"/>
    <w:rsid w:val="00121768"/>
    <w:rsid w:val="00127A16"/>
    <w:rsid w:val="001E1FB4"/>
    <w:rsid w:val="0028546F"/>
    <w:rsid w:val="002A2B60"/>
    <w:rsid w:val="002B4C49"/>
    <w:rsid w:val="0035718F"/>
    <w:rsid w:val="00402B8B"/>
    <w:rsid w:val="0046584E"/>
    <w:rsid w:val="0057793B"/>
    <w:rsid w:val="005A2007"/>
    <w:rsid w:val="00641D57"/>
    <w:rsid w:val="00685CAB"/>
    <w:rsid w:val="006E5420"/>
    <w:rsid w:val="007A77C6"/>
    <w:rsid w:val="007F450F"/>
    <w:rsid w:val="00852C79"/>
    <w:rsid w:val="009523CE"/>
    <w:rsid w:val="0095444B"/>
    <w:rsid w:val="009F6230"/>
    <w:rsid w:val="00AB333B"/>
    <w:rsid w:val="00B03D74"/>
    <w:rsid w:val="00B520A0"/>
    <w:rsid w:val="00BC16BC"/>
    <w:rsid w:val="00BC20E5"/>
    <w:rsid w:val="00C20666"/>
    <w:rsid w:val="00DA6518"/>
    <w:rsid w:val="00E01484"/>
    <w:rsid w:val="00EB0724"/>
    <w:rsid w:val="00F94ECF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6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8546F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Header">
    <w:name w:val="header"/>
    <w:basedOn w:val="Normal"/>
    <w:rsid w:val="002854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54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2066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FF7C34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Hyperlink">
    <w:name w:val="Hyperlink"/>
    <w:basedOn w:val="DefaultParagraphFont"/>
    <w:rsid w:val="002A2B60"/>
    <w:rPr>
      <w:color w:val="0000FF"/>
      <w:u w:val="single"/>
    </w:rPr>
  </w:style>
  <w:style w:type="character" w:styleId="FollowedHyperlink">
    <w:name w:val="FollowedHyperlink"/>
    <w:basedOn w:val="DefaultParagraphFont"/>
    <w:rsid w:val="00B520A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SP%20-%20DEEDI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SP%20-%20Treasury.pdf" TargetMode="External"/><Relationship Id="rId12" Type="http://schemas.openxmlformats.org/officeDocument/2006/relationships/hyperlink" Target="Attachments/RSP%20-%20Commun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RSP%20-%20DIP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RSP%20-%20JA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SP%20-%20DERM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1613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>https://www.cabinet.qld.gov.au/documents/2009/Nov/Agency Regulatory Simplification plans/</HyperlinkBase>
  <HLinks>
    <vt:vector size="36" baseType="variant">
      <vt:variant>
        <vt:i4>458833</vt:i4>
      </vt:variant>
      <vt:variant>
        <vt:i4>15</vt:i4>
      </vt:variant>
      <vt:variant>
        <vt:i4>0</vt:i4>
      </vt:variant>
      <vt:variant>
        <vt:i4>5</vt:i4>
      </vt:variant>
      <vt:variant>
        <vt:lpwstr>Attachments/RSP - Communities.pdf</vt:lpwstr>
      </vt:variant>
      <vt:variant>
        <vt:lpwstr/>
      </vt:variant>
      <vt:variant>
        <vt:i4>1245261</vt:i4>
      </vt:variant>
      <vt:variant>
        <vt:i4>12</vt:i4>
      </vt:variant>
      <vt:variant>
        <vt:i4>0</vt:i4>
      </vt:variant>
      <vt:variant>
        <vt:i4>5</vt:i4>
      </vt:variant>
      <vt:variant>
        <vt:lpwstr>Attachments/RSP - DIP.pdf</vt:lpwstr>
      </vt:variant>
      <vt:variant>
        <vt:lpwstr/>
      </vt:variant>
      <vt:variant>
        <vt:i4>1769556</vt:i4>
      </vt:variant>
      <vt:variant>
        <vt:i4>9</vt:i4>
      </vt:variant>
      <vt:variant>
        <vt:i4>0</vt:i4>
      </vt:variant>
      <vt:variant>
        <vt:i4>5</vt:i4>
      </vt:variant>
      <vt:variant>
        <vt:lpwstr>Attachments/RSP - JAG.pdf</vt:lpwstr>
      </vt:variant>
      <vt:variant>
        <vt:lpwstr/>
      </vt:variant>
      <vt:variant>
        <vt:i4>3014773</vt:i4>
      </vt:variant>
      <vt:variant>
        <vt:i4>6</vt:i4>
      </vt:variant>
      <vt:variant>
        <vt:i4>0</vt:i4>
      </vt:variant>
      <vt:variant>
        <vt:i4>5</vt:i4>
      </vt:variant>
      <vt:variant>
        <vt:lpwstr>Attachments/RSP - DERM.pdf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Attachments/RSP - DEEDI.pdf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Attachments/RSP - Treasury.pdf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Regulatory,simplification,Phase_1</cp:keywords>
  <dc:description/>
  <cp:lastModifiedBy/>
  <cp:revision>2</cp:revision>
  <cp:lastPrinted>2010-02-22T04:31:00Z</cp:lastPrinted>
  <dcterms:created xsi:type="dcterms:W3CDTF">2017-10-24T22:02:00Z</dcterms:created>
  <dcterms:modified xsi:type="dcterms:W3CDTF">2018-03-06T00:58:00Z</dcterms:modified>
  <cp:category>Regulatory_Reform</cp:category>
</cp:coreProperties>
</file>